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B081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before="125" w:line="560" w:lineRule="exact"/>
        <w:ind w:firstLine="4083" w:firstLineChars="900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标的清单</w:t>
      </w:r>
    </w:p>
    <w:p w14:paraId="38F2E2C6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before="125" w:line="560" w:lineRule="exact"/>
        <w:ind w:firstLine="4083" w:firstLineChars="900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</w:pPr>
    </w:p>
    <w:p w14:paraId="645B2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1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3"/>
          <w:sz w:val="30"/>
          <w:szCs w:val="30"/>
        </w:rPr>
        <w:t>一、标的基本信息列表：</w:t>
      </w:r>
    </w:p>
    <w:tbl>
      <w:tblPr>
        <w:tblStyle w:val="5"/>
        <w:tblW w:w="96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4"/>
        <w:gridCol w:w="1268"/>
        <w:gridCol w:w="1275"/>
        <w:gridCol w:w="1478"/>
        <w:gridCol w:w="1997"/>
      </w:tblGrid>
      <w:tr w14:paraId="3658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6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C7FB7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30"/>
                <w:sz w:val="30"/>
                <w:szCs w:val="30"/>
              </w:rPr>
              <w:t>标的信息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E063F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5"/>
                <w:sz w:val="30"/>
                <w:szCs w:val="30"/>
              </w:rPr>
              <w:t>租赁期限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ACB60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6"/>
                <w:sz w:val="30"/>
                <w:szCs w:val="30"/>
              </w:rPr>
              <w:t>起始价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F7EA0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5"/>
                <w:sz w:val="30"/>
                <w:szCs w:val="30"/>
              </w:rPr>
              <w:t>竞买保证金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738CA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5"/>
                <w:sz w:val="30"/>
                <w:szCs w:val="30"/>
                <w:lang w:eastAsia="zh-CN"/>
              </w:rPr>
              <w:t>备注</w:t>
            </w:r>
          </w:p>
        </w:tc>
      </w:tr>
      <w:tr w14:paraId="7E3C2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3654" w:type="dxa"/>
            <w:vAlign w:val="top"/>
          </w:tcPr>
          <w:p w14:paraId="625667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泾县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  <w:t>江南第一漂景区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五年期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  <w:t>经营权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出租。包括乌溪姚村至黄村平垣段河道经营权，以及河道两侧由委托人投入建设的房屋建筑物、设施设备、在建工程等五年经营使用权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1268" w:type="dxa"/>
            <w:vAlign w:val="top"/>
          </w:tcPr>
          <w:p w14:paraId="1CB35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09AB7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4BC19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64E809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5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5"/>
                <w:sz w:val="30"/>
                <w:szCs w:val="30"/>
              </w:rPr>
              <w:t>年</w:t>
            </w:r>
          </w:p>
        </w:tc>
        <w:tc>
          <w:tcPr>
            <w:tcW w:w="1275" w:type="dxa"/>
            <w:vAlign w:val="top"/>
          </w:tcPr>
          <w:p w14:paraId="27E59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52EB3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6C4F8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4DF7AA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3"/>
                <w:sz w:val="30"/>
                <w:szCs w:val="30"/>
                <w:lang w:val="en-US" w:eastAsia="zh-CN"/>
              </w:rPr>
              <w:t>430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3"/>
                <w:sz w:val="30"/>
                <w:szCs w:val="30"/>
              </w:rPr>
              <w:t>万元</w:t>
            </w:r>
          </w:p>
        </w:tc>
        <w:tc>
          <w:tcPr>
            <w:tcW w:w="1478" w:type="dxa"/>
            <w:vAlign w:val="top"/>
          </w:tcPr>
          <w:p w14:paraId="5C4A4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00A62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793F4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  <w:p w14:paraId="50CF70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11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11"/>
                <w:sz w:val="30"/>
                <w:szCs w:val="30"/>
              </w:rPr>
              <w:t>万元</w:t>
            </w:r>
          </w:p>
        </w:tc>
        <w:tc>
          <w:tcPr>
            <w:tcW w:w="1997" w:type="dxa"/>
            <w:vAlign w:val="top"/>
          </w:tcPr>
          <w:p w14:paraId="0147C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请竞买人报名前现场踏勘标的，详细了解标的信息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如因对标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30"/>
                <w:szCs w:val="30"/>
              </w:rPr>
              <w:t>的情况了解不清造成后果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  <w:sz w:val="30"/>
                <w:szCs w:val="30"/>
              </w:rPr>
              <w:t>的，责任自负。</w:t>
            </w:r>
          </w:p>
          <w:p w14:paraId="6F011E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</w:p>
        </w:tc>
      </w:tr>
    </w:tbl>
    <w:p w14:paraId="4764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760ECC7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441AEC81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1A5FFDB8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0BC34FF9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4C89F01D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5655D420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53BD2FD9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7C1D2EF1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1CF547F2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1B9976FF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</w:rPr>
      </w:pPr>
    </w:p>
    <w:p w14:paraId="73B7E6A9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1F51"/>
    <w:rsid w:val="27731F51"/>
    <w:rsid w:val="2BCB7E65"/>
    <w:rsid w:val="609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2025-12-01T09:06:00Z</dcterms:created>
  <dc:creator>星星点灯</dc:creator>
  <cp:lastModifiedBy>李却步</cp:lastModifiedBy>
  <dcterms:modified xsi:type="dcterms:W3CDTF">2025-12-01T09:20:13Z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62F6CCD77500413890EB6DE85964B7BE_13</vt:lpwstr>
  </property>
  <property fmtid="{D5CDD505-2E9C-101B-9397-08002B2CF9AE}" pid="4" name="KSOTemplateDocerSaveRecord">
    <vt:lpwstr>eyJoZGlkIjoiYWNkY2E2ZjY5NzJiMjBiMDRkNGI5ZGVjMzQ3YTNmMmUiLCJ1c2VySWQiOiIyNDAyNjM0MTYifQ==</vt:lpwstr>
  </property>
</Properties>
</file>